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6" w:rsidRDefault="00E708C8">
      <w:pPr>
        <w:sectPr w:rsidR="008B3026" w:rsidSect="008B30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Noutbook\Pictures\2015-10-12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ook\Pictures\2015-10-12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887" w:rsidRPr="00202887" w:rsidRDefault="00202887" w:rsidP="00202887">
      <w:pPr>
        <w:shd w:val="clear" w:color="auto" w:fill="FFFFFF"/>
        <w:ind w:firstLine="567"/>
        <w:contextualSpacing/>
        <w:rPr>
          <w:rFonts w:eastAsia="Times New Roman"/>
          <w:sz w:val="24"/>
          <w:szCs w:val="24"/>
          <w:lang w:eastAsia="ru-RU" w:bidi="en-US"/>
        </w:rPr>
      </w:pPr>
      <w:r w:rsidRPr="00202887">
        <w:rPr>
          <w:rFonts w:eastAsia="Times New Roman"/>
          <w:bCs/>
          <w:sz w:val="24"/>
          <w:szCs w:val="24"/>
          <w:lang w:eastAsia="ru-RU" w:bidi="en-US"/>
        </w:rPr>
        <w:lastRenderedPageBreak/>
        <w:t>Настоящий  порядок  разработан  в соответствии с п.8 ч.3,ст.47 Федерального закона 273-ФЗ «Об образовании в Российской Федерации»,</w:t>
      </w:r>
      <w:r w:rsidRPr="00202887">
        <w:rPr>
          <w:rFonts w:eastAsia="Times New Roman"/>
          <w:sz w:val="24"/>
          <w:szCs w:val="24"/>
          <w:lang w:eastAsia="ru-RU" w:bidi="en-US"/>
        </w:rPr>
        <w:t xml:space="preserve"> Приказом Минобрнауки России от 18.04.2013 </w:t>
      </w:r>
      <w:r w:rsidRPr="00202887">
        <w:rPr>
          <w:rFonts w:eastAsia="Times New Roman"/>
          <w:sz w:val="24"/>
          <w:szCs w:val="24"/>
          <w:lang w:val="en-US" w:eastAsia="ru-RU" w:bidi="en-US"/>
        </w:rPr>
        <w:t>N</w:t>
      </w:r>
      <w:r w:rsidRPr="00202887">
        <w:rPr>
          <w:rFonts w:eastAsia="Times New Roman"/>
          <w:sz w:val="24"/>
          <w:szCs w:val="24"/>
          <w:lang w:eastAsia="ru-RU" w:bidi="en-US"/>
        </w:rPr>
        <w:t xml:space="preserve">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202887" w:rsidRPr="00202887" w:rsidRDefault="00202887" w:rsidP="00202887">
      <w:pPr>
        <w:shd w:val="clear" w:color="auto" w:fill="FFFFFF"/>
        <w:autoSpaceDE w:val="0"/>
        <w:autoSpaceDN w:val="0"/>
        <w:ind w:right="14" w:firstLine="0"/>
        <w:jc w:val="left"/>
        <w:rPr>
          <w:rFonts w:eastAsia="Times New Roman"/>
          <w:b/>
          <w:bCs/>
          <w:color w:val="000000"/>
          <w:spacing w:val="-2"/>
          <w:lang w:eastAsia="ru-RU"/>
        </w:rPr>
      </w:pPr>
    </w:p>
    <w:p w:rsidR="00202887" w:rsidRPr="00202887" w:rsidRDefault="00202887" w:rsidP="00202887">
      <w:pPr>
        <w:numPr>
          <w:ilvl w:val="0"/>
          <w:numId w:val="2"/>
        </w:numPr>
        <w:shd w:val="clear" w:color="auto" w:fill="FFFFFF"/>
        <w:autoSpaceDE w:val="0"/>
        <w:autoSpaceDN w:val="0"/>
        <w:spacing w:before="60"/>
        <w:ind w:left="993" w:right="14" w:hanging="709"/>
        <w:contextualSpacing/>
        <w:jc w:val="center"/>
        <w:rPr>
          <w:rFonts w:eastAsia="Times New Roman"/>
          <w:b/>
          <w:bCs/>
          <w:color w:val="000000"/>
          <w:spacing w:val="-2"/>
          <w:sz w:val="24"/>
          <w:lang w:val="en-US" w:eastAsia="ru-RU"/>
        </w:rPr>
      </w:pPr>
      <w:r w:rsidRPr="00202887">
        <w:rPr>
          <w:rFonts w:eastAsia="Times New Roman"/>
          <w:b/>
          <w:bCs/>
          <w:color w:val="000000"/>
          <w:spacing w:val="-2"/>
          <w:sz w:val="24"/>
          <w:lang w:eastAsia="ru-RU"/>
        </w:rPr>
        <w:t>Общие положения</w:t>
      </w:r>
    </w:p>
    <w:p w:rsidR="00202887" w:rsidRPr="00202887" w:rsidRDefault="00202887" w:rsidP="00202887">
      <w:pPr>
        <w:shd w:val="clear" w:color="auto" w:fill="FFFFFF"/>
        <w:autoSpaceDE w:val="0"/>
        <w:autoSpaceDN w:val="0"/>
        <w:ind w:left="720" w:right="14" w:firstLine="0"/>
        <w:contextualSpacing/>
        <w:jc w:val="left"/>
        <w:rPr>
          <w:rFonts w:eastAsia="Times New Roman"/>
          <w:sz w:val="14"/>
          <w:szCs w:val="16"/>
          <w:lang w:val="en-US" w:eastAsia="ru-RU"/>
        </w:rPr>
      </w:pPr>
    </w:p>
    <w:p w:rsidR="00202887" w:rsidRPr="00202887" w:rsidRDefault="00202887" w:rsidP="00202887">
      <w:pPr>
        <w:ind w:firstLine="0"/>
        <w:rPr>
          <w:rFonts w:eastAsia="Times New Roman"/>
          <w:sz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1. Для педагогических работников работодателем является организация, осуществляющая образовательную деятельность.</w:t>
      </w:r>
    </w:p>
    <w:p w:rsidR="00202887" w:rsidRPr="00202887" w:rsidRDefault="00202887" w:rsidP="00202887">
      <w:pPr>
        <w:ind w:firstLine="0"/>
        <w:rPr>
          <w:rFonts w:eastAsia="Times New Roman"/>
          <w:sz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202887" w:rsidRPr="00202887" w:rsidRDefault="00202887" w:rsidP="00202887">
      <w:pPr>
        <w:ind w:firstLine="0"/>
        <w:rPr>
          <w:rFonts w:eastAsia="Times New Roman"/>
          <w:sz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3. Академические права и свободы  педагогов должны осуществляться с соблюдением прав и  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202887" w:rsidRPr="00202887" w:rsidRDefault="00202887" w:rsidP="00202887">
      <w:pPr>
        <w:ind w:firstLine="0"/>
        <w:rPr>
          <w:rFonts w:eastAsia="Times New Roman"/>
          <w:sz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 xml:space="preserve"> </w:t>
      </w:r>
      <w:r w:rsidRPr="00202887">
        <w:rPr>
          <w:rFonts w:eastAsia="Times New Roman"/>
          <w:iCs/>
          <w:sz w:val="24"/>
          <w:lang w:eastAsia="ru-RU"/>
        </w:rPr>
        <w:t xml:space="preserve">4. </w:t>
      </w:r>
      <w:r w:rsidRPr="00202887">
        <w:rPr>
          <w:rFonts w:eastAsia="Times New Roman"/>
          <w:sz w:val="24"/>
          <w:lang w:eastAsia="ru-RU"/>
        </w:rPr>
        <w:t xml:space="preserve"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устанавливается  законодательством Российской Федерации или локальными нормативными актами. 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5. Настоящее Положение регламентирует бесплатное пользование педагогическими работниками образовательными, методическими  и научными услугами  Учреждения.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 xml:space="preserve">6. Бесплатное пользование услугами, перечисленными в пункте 4. настоящего Положения необходимо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 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7.</w:t>
      </w:r>
      <w:r w:rsidRPr="00202887">
        <w:rPr>
          <w:rFonts w:eastAsia="Times New Roman"/>
          <w:sz w:val="12"/>
          <w:szCs w:val="14"/>
          <w:lang w:eastAsia="ru-RU"/>
        </w:rPr>
        <w:t>    </w:t>
      </w:r>
      <w:r w:rsidRPr="00202887">
        <w:rPr>
          <w:rFonts w:eastAsia="Times New Roman"/>
          <w:sz w:val="24"/>
          <w:lang w:eastAsia="ru-RU"/>
        </w:rPr>
        <w:t>Пользование образовательными услугами.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7.1.</w:t>
      </w:r>
      <w:r w:rsidRPr="00202887">
        <w:rPr>
          <w:rFonts w:eastAsia="Times New Roman"/>
          <w:sz w:val="12"/>
          <w:szCs w:val="14"/>
          <w:lang w:eastAsia="ru-RU"/>
        </w:rPr>
        <w:t>   </w:t>
      </w:r>
      <w:r w:rsidRPr="00202887">
        <w:rPr>
          <w:rFonts w:eastAsia="Times New Roman"/>
          <w:sz w:val="24"/>
          <w:lang w:eastAsia="ru-RU"/>
        </w:rPr>
        <w:t xml:space="preserve">Педагогические работники Учреждения, при условии положительного решения директора </w:t>
      </w:r>
      <w:r w:rsidR="00BF7833" w:rsidRPr="00202887">
        <w:rPr>
          <w:rFonts w:eastAsia="Times New Roman"/>
          <w:sz w:val="24"/>
          <w:lang w:eastAsia="ru-RU"/>
        </w:rPr>
        <w:t>лицея и</w:t>
      </w:r>
      <w:r w:rsidRPr="00202887">
        <w:rPr>
          <w:rFonts w:eastAsia="Times New Roman"/>
          <w:sz w:val="24"/>
          <w:lang w:eastAsia="ru-RU"/>
        </w:rPr>
        <w:t xml:space="preserve"> в случае наличия финансовых средств, имеют право на бесплатное обучение по дополнительным общеобразовательным программам.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8.</w:t>
      </w:r>
      <w:r w:rsidRPr="00202887">
        <w:rPr>
          <w:rFonts w:eastAsia="Times New Roman"/>
          <w:sz w:val="12"/>
          <w:szCs w:val="14"/>
          <w:lang w:eastAsia="ru-RU"/>
        </w:rPr>
        <w:t xml:space="preserve">   </w:t>
      </w:r>
      <w:r w:rsidRPr="00202887">
        <w:rPr>
          <w:rFonts w:eastAsia="Times New Roman"/>
          <w:sz w:val="24"/>
          <w:lang w:eastAsia="ru-RU"/>
        </w:rPr>
        <w:t>Пользование методическими услугами.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8.1.</w:t>
      </w:r>
      <w:r w:rsidRPr="00202887">
        <w:rPr>
          <w:rFonts w:eastAsia="Times New Roman"/>
          <w:sz w:val="12"/>
          <w:szCs w:val="14"/>
          <w:lang w:eastAsia="ru-RU"/>
        </w:rPr>
        <w:t>   </w:t>
      </w:r>
      <w:r w:rsidRPr="00202887">
        <w:rPr>
          <w:rFonts w:eastAsia="Times New Roman"/>
          <w:sz w:val="24"/>
          <w:lang w:eastAsia="ru-RU"/>
        </w:rPr>
        <w:t>Педагогические работники имеют право на бесплатное пользование следующими методическими услугами: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–</w:t>
      </w:r>
      <w:r w:rsidRPr="00202887">
        <w:rPr>
          <w:rFonts w:eastAsia="Times New Roman"/>
          <w:sz w:val="12"/>
          <w:szCs w:val="14"/>
          <w:lang w:eastAsia="ru-RU"/>
        </w:rPr>
        <w:t xml:space="preserve">    </w:t>
      </w:r>
      <w:r w:rsidRPr="00202887">
        <w:rPr>
          <w:rFonts w:eastAsia="Times New Roman"/>
          <w:sz w:val="24"/>
          <w:lang w:eastAsia="ru-RU"/>
        </w:rPr>
        <w:t>использование методических разработок, имеющихся в лицее;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–</w:t>
      </w:r>
      <w:r w:rsidRPr="00202887">
        <w:rPr>
          <w:rFonts w:eastAsia="Times New Roman"/>
          <w:sz w:val="12"/>
          <w:szCs w:val="14"/>
          <w:lang w:eastAsia="ru-RU"/>
        </w:rPr>
        <w:t xml:space="preserve">    </w:t>
      </w:r>
      <w:r w:rsidRPr="00202887">
        <w:rPr>
          <w:rFonts w:eastAsia="Times New Roman"/>
          <w:sz w:val="24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–</w:t>
      </w:r>
      <w:r w:rsidRPr="00202887">
        <w:rPr>
          <w:rFonts w:eastAsia="Times New Roman"/>
          <w:sz w:val="12"/>
          <w:szCs w:val="14"/>
          <w:lang w:eastAsia="ru-RU"/>
        </w:rPr>
        <w:t>    </w:t>
      </w:r>
      <w:r w:rsidRPr="00202887">
        <w:rPr>
          <w:rFonts w:eastAsia="Times New Roman"/>
          <w:sz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–</w:t>
      </w:r>
      <w:r w:rsidRPr="00202887">
        <w:rPr>
          <w:rFonts w:eastAsia="Times New Roman"/>
          <w:sz w:val="12"/>
          <w:szCs w:val="14"/>
          <w:lang w:eastAsia="ru-RU"/>
        </w:rPr>
        <w:t xml:space="preserve">    </w:t>
      </w:r>
      <w:r w:rsidRPr="00202887">
        <w:rPr>
          <w:rFonts w:eastAsia="Times New Roman"/>
          <w:sz w:val="24"/>
          <w:lang w:eastAsia="ru-RU"/>
        </w:rPr>
        <w:t>помощь в освоении и разработке инновационных программ и технологий;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–</w:t>
      </w:r>
      <w:r w:rsidRPr="00202887">
        <w:rPr>
          <w:rFonts w:eastAsia="Times New Roman"/>
          <w:sz w:val="12"/>
          <w:szCs w:val="14"/>
          <w:lang w:eastAsia="ru-RU"/>
        </w:rPr>
        <w:t>    </w:t>
      </w:r>
      <w:r w:rsidRPr="00202887">
        <w:rPr>
          <w:rFonts w:eastAsia="Times New Roman"/>
          <w:sz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–</w:t>
      </w:r>
      <w:r w:rsidRPr="00202887">
        <w:rPr>
          <w:rFonts w:eastAsia="Times New Roman"/>
          <w:sz w:val="12"/>
          <w:szCs w:val="14"/>
          <w:lang w:eastAsia="ru-RU"/>
        </w:rPr>
        <w:t>    </w:t>
      </w:r>
      <w:r w:rsidRPr="00202887">
        <w:rPr>
          <w:rFonts w:eastAsia="Times New Roman"/>
          <w:sz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202887" w:rsidRPr="00202887" w:rsidRDefault="00202887" w:rsidP="00202887">
      <w:pPr>
        <w:ind w:firstLine="0"/>
        <w:contextualSpacing/>
        <w:rPr>
          <w:rFonts w:eastAsia="Times New Roman"/>
          <w:sz w:val="22"/>
          <w:szCs w:val="24"/>
          <w:lang w:eastAsia="ru-RU"/>
        </w:rPr>
      </w:pPr>
      <w:r w:rsidRPr="00202887">
        <w:rPr>
          <w:rFonts w:eastAsia="Times New Roman"/>
          <w:sz w:val="24"/>
          <w:lang w:eastAsia="ru-RU"/>
        </w:rPr>
        <w:t>8.2.</w:t>
      </w:r>
      <w:r w:rsidRPr="00202887">
        <w:rPr>
          <w:rFonts w:eastAsia="Times New Roman"/>
          <w:sz w:val="12"/>
          <w:szCs w:val="14"/>
          <w:lang w:eastAsia="ru-RU"/>
        </w:rPr>
        <w:t>     </w:t>
      </w:r>
      <w:r w:rsidRPr="00202887">
        <w:rPr>
          <w:rFonts w:eastAsia="Times New Roman"/>
          <w:sz w:val="24"/>
          <w:lang w:eastAsia="ru-RU"/>
        </w:rPr>
        <w:t>Для получения методической помощи педагогический работник может обратиться к  заместителю директора по УМР, председателям методических комиссий.</w:t>
      </w:r>
    </w:p>
    <w:p w:rsidR="00202887" w:rsidRPr="00202887" w:rsidRDefault="00202887" w:rsidP="00202887">
      <w:pPr>
        <w:ind w:firstLine="0"/>
        <w:jc w:val="left"/>
        <w:rPr>
          <w:rFonts w:eastAsia="Times New Roman"/>
          <w:sz w:val="22"/>
          <w:szCs w:val="24"/>
          <w:lang w:eastAsia="ru-RU"/>
        </w:rPr>
      </w:pPr>
    </w:p>
    <w:p w:rsidR="008B3026" w:rsidRPr="00312608" w:rsidRDefault="008B3026" w:rsidP="00BF7833">
      <w:pPr>
        <w:jc w:val="center"/>
        <w:rPr>
          <w:sz w:val="24"/>
          <w:szCs w:val="24"/>
        </w:rPr>
      </w:pPr>
    </w:p>
    <w:sectPr w:rsidR="008B3026" w:rsidRPr="00312608" w:rsidSect="008B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83"/>
    <w:multiLevelType w:val="hybridMultilevel"/>
    <w:tmpl w:val="2F4A8384"/>
    <w:lvl w:ilvl="0" w:tplc="CFB043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0"/>
    <w:rsid w:val="00050270"/>
    <w:rsid w:val="0016385A"/>
    <w:rsid w:val="00202887"/>
    <w:rsid w:val="00312608"/>
    <w:rsid w:val="00786BFF"/>
    <w:rsid w:val="00802662"/>
    <w:rsid w:val="008B3026"/>
    <w:rsid w:val="00904AAA"/>
    <w:rsid w:val="00BF7833"/>
    <w:rsid w:val="00C00D76"/>
    <w:rsid w:val="00CF1245"/>
    <w:rsid w:val="00E7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BCCB-0580-4675-B18A-617E9E58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Noutbook</cp:lastModifiedBy>
  <cp:revision>15</cp:revision>
  <dcterms:created xsi:type="dcterms:W3CDTF">2014-03-13T11:33:00Z</dcterms:created>
  <dcterms:modified xsi:type="dcterms:W3CDTF">2015-10-12T06:05:00Z</dcterms:modified>
</cp:coreProperties>
</file>